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AA" w:rsidRPr="00F573AA" w:rsidRDefault="00F573AA" w:rsidP="00F573AA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573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Итоговый документ заседания высокого уровня Генеральной Ассамблеи, посвященного вопросам достижения целей в области развития, сформулированны</w:t>
      </w:r>
      <w:bookmarkStart w:id="0" w:name="_GoBack"/>
      <w:bookmarkEnd w:id="0"/>
      <w:r w:rsidRPr="00F573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 в Декларации тысячелетия, и других согласованных на международном уровне целей в области развития в интересах инвалидов: путь вперед — повестка дня в области развития с участием инвалидов на период до 2015 года и после него</w:t>
      </w:r>
    </w:p>
    <w:p w:rsidR="00F573AA" w:rsidRPr="00F573AA" w:rsidRDefault="00F573AA" w:rsidP="00F573AA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proofErr w:type="gramStart"/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Принята</w:t>
      </w:r>
      <w:proofErr w:type="gramEnd"/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hyperlink r:id="rId5" w:history="1">
        <w:r w:rsidRPr="00F573AA">
          <w:rPr>
            <w:rFonts w:ascii="Arial" w:eastAsia="Times New Roman" w:hAnsi="Arial" w:cs="Arial"/>
            <w:i/>
            <w:iCs/>
            <w:color w:val="333333"/>
            <w:sz w:val="20"/>
            <w:szCs w:val="20"/>
            <w:u w:val="single"/>
            <w:lang w:eastAsia="ru-RU"/>
          </w:rPr>
          <w:t>резолюцией 68/6</w:t>
        </w:r>
      </w:hyperlink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Генеральной Ассамблеи от 9 октября 2013 года</w:t>
      </w:r>
    </w:p>
    <w:p w:rsidR="00F573AA" w:rsidRPr="00F573AA" w:rsidRDefault="00F573AA" w:rsidP="00F573AA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Ценности и принципы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Мы, главы государств и правительств, собрались в Центральных учреждениях Организации Объединенных Наций в Нью-Йорке 23 сентября 2013 года, чтобы подтвердить наше твердое намерение действовать сообща для обеспечения развития с участием </w:t>
      </w:r>
      <w:hyperlink r:id="rId6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инвалидов</w:t>
        </w:r>
      </w:hyperlink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приверженность международного сообщества осуществлению прав всех инвалидов, имеющую глубокие корни в целях </w:t>
      </w:r>
      <w:hyperlink r:id="rId7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Устава Организации Объединенных Наций</w:t>
        </w:r>
      </w:hyperlink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hyperlink r:id="rId8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Всеобщей декларации прав человека</w:t>
        </w:r>
      </w:hyperlink>
      <w:hyperlink r:id="rId9" w:anchor="a1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2.  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вновь подтверждаем необходимость достижения целей в области развития, сформулированных в </w:t>
      </w:r>
      <w:hyperlink r:id="rId10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тысячелетия</w:t>
        </w:r>
      </w:hyperlink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 других согласованных на международном уровне целей в области развития в интересах инвалидов в период до 2015 года и после него, и признаем инвалидов в качестве двигателей и бенефициаров развития, сознавая значение их вклада в общее благосостояние, прогресс и многообразие общества.</w:t>
      </w:r>
      <w:proofErr w:type="gramEnd"/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3.  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озабочены тем, что эта приверженность пока не привела к включению положений об участии инвалидов в согласованные на международном уровне цели развития, в том числе цели в области развития, сформулированные в Декларации тысячелетия, и сейчас, когда приближается 2015 год, решительно подтверждаем наше твердое намерение обеспечить своевременное достижение целей в области развития, сформулированных в Декларации тысячелетия, и других согласованных на международном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уровне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целей в области развития в интересах инвалидов, составляющих, согласно оценкам, 15 процентов населения мира, — это 1 миллиард человек, из которых, согласно оценкам, 80 процентов живут в развивающихся странах. В этой связи мы подчеркиваем важность обеспечения участия инвалидов во всех аспектах развития и возможностей получения доступа для них, а также важность должного учета интересов инвалидов в разрабатываемой сейчас повестке дня Организации Объединенных Наций в области развития на период после 2015 года.</w:t>
      </w:r>
    </w:p>
    <w:p w:rsidR="00F573AA" w:rsidRPr="00F573AA" w:rsidRDefault="00F573AA" w:rsidP="00F573AA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II. Достижение целей развития </w:t>
      </w:r>
      <w:proofErr w:type="gramStart"/>
      <w:r w:rsidRPr="00F57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интересах</w:t>
      </w:r>
      <w:proofErr w:type="gramEnd"/>
      <w:r w:rsidRPr="00F57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инвалидов в период до 2015 года и после него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подчеркиваем необходимость принятия срочных мер всеми соответствующими заинтересованными сторонами в целях утверждения и осуществления более амбициозных национальных стратегий развития с участием инвалидов и необходимость усилий по решению проблем инвалидов, пользующихся более значительной международной поддержкой в условиях более тесного международного сотрудничества, и принимаем на себя излагаемые ниже обязательства на период до 2015 года и после него:</w:t>
      </w:r>
      <w:proofErr w:type="gramEnd"/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a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добиться полномасштабного применения и осуществления международной нормативной базы по вопросам инвалидности и развития путем поощрения ратификации и </w:t>
      </w:r>
      <w:proofErr w:type="spell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соблюдения</w:t>
      </w:r>
      <w:hyperlink r:id="rId11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Конвенции</w:t>
        </w:r>
        <w:proofErr w:type="spellEnd"/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 xml:space="preserve"> о правах инвалидов</w:t>
        </w:r>
      </w:hyperlink>
      <w:hyperlink r:id="rId12" w:anchor="a1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в результате рассмотрения вопроса о ратификации Факультативного протокола к ней</w:t>
      </w:r>
      <w:hyperlink r:id="rId13" w:anchor="a3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полагая, что они являются документами не только по правам человека, но и по вопросам развития;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b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обеспечить, чтобы вся политика развития, в том числе политика, касающаяся искоренения бедности, обеспечения участия в общественной жизни, полной и продуктивной занятости, достойной работы и доступа к базовым социальным услугам, а также процессы принятия решений по этим вопросам отражали потребности и интересы всех инвалидов, включая женщин, детей, 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молодежь, коренные народы и пожилых людей, которые могут подвергаться насилию и многочисленным или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особенно тяжелым формам дискриминации;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c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разработать конкретные планы, включая, когда это необходимо, принятие или изменение и исполнение национального законодательства, согласование работы национальных законодательных, политических и организационных структур и принятие и выполнение национальных планов, касающихся целей развития, сформулированных в Декларации тысячелетия, и других согласованных на международном уровне целей в области развития, чтобы содействовать участию инвалидов;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d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признать право на образование на основе равных возможностей и </w:t>
      </w:r>
      <w:proofErr w:type="spell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недискриминации</w:t>
      </w:r>
      <w:proofErr w:type="spell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сделав начальное образование доступным, бесплатным и обязательным и предоставляемым детям-инвалидам наравне с другими, и обеспечив всем детям равные возможности доступа к системе инклюзивного образования хорошего качества, а также сделав начальное и среднее образование, как правило, возможным и доступным для всех, в том числе для дете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й-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инвалидов из семей с низкими доходами;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e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обеспечить доступ инвалидов к медицинским услугам, в том числе к первичному медико-санитарному обслуживанию и специализированным услугам, в частности путем повышения финансовой доступности таких услуг для инвалидов и путем инвестирования в такие системы обслуживания;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f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усилить социальную защиту в целях удовлетворения потребностей инвалидов и содействовать обеспечению доступа к соответствующим программам на основе гарантированной минимальной социальной поддержки наравне с другими, включая предоставление материальной помощи и доступа к соответствующим и недорогим услугам, устройствам и другим видам помощи;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g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 поощрять государства-члены к принятию долгосрочных мер по обеспечению равноправного доступа к полной и продуктивной занятости и к достойной работе на равной основе и без дискриминации инвалидов, в том числе путем содействия доступу к системе инклюзивного образования, развитию навыков, профессионально-техническому обучению и подготовке предпринимателей, чтобы инвалиды могли достичь максимального уровня независимости и сохранить ее;</w:t>
      </w:r>
      <w:proofErr w:type="gramEnd"/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h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в рамках универсального подхода к дизайну обеспечить создание </w:t>
      </w:r>
      <w:proofErr w:type="spell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безбарьерной</w:t>
      </w:r>
      <w:proofErr w:type="spell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среды путем ликвидации барьеров, существующих в окружающей нас физической среде, на транспорте, на рабочих местах, в учебных и медицинских учреждениях, в информационных и вспомогательных устройствах, таких как информационно-коммуникационная техника, в том числе в отдаленных или в сельских районах, с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инвалиды в течение всей своей жизни могли полностью раскрыть свой потенциал;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i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 улучшить сбор, изучение и отслеживание данных об инвалидности для целей планирования, проведения и оценки политики в области развития, учитывая при этом в полной мере региональные условия; в соответствующих случаях обмениваться этими данными и статистикой с компетентными учреждениями и органами системы Организации Объединенных Наций, включая Статистическую комиссию, с помощью соответствующих механизмов и подчеркнуть необходимость сопоставимых международных данных и статистики с разбивкой по полу и возрасту, в том числе информации об инвалидности;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j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в сотрудничестве с научными учреждениями и другими компетентными структурами активизировать и поддерживать исследования в целях достижения более глубокого знания и понимания вопросов инвалидности и развития, а также обеспечить адекватное и эффективное распределение ресурсов в этих целях;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k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настоятельно призвать государства-члены, систему Организации Объединенных Наций и гуманитарные организации к тому, чтобы они, действуя в рамках своих полномочий, продолжали учитывать потребности инвалидов в гуманитарных программах и мероприятиях по реагированию и включали работу по обеспечению доступности и реабилитации во все аспекты и этапы гуманитарной деятельности в качестве ее важнейшей составной части, в том числе активизировав усилия по повышению степени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готовности к бедствиям и по ослаблению угрозы бедствий;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lastRenderedPageBreak/>
        <w:t>l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содействовать росту понимания, знания и максимального общественного осознания проблемы инвалидности, в частности путем разработки и проведения кампаний в средствах массовой информации и социальных сетях с участием инвалидов и их организаций, чтобы способствовать формированию положительного образа инвалидов и устранению дискриминационных социальных и поведенческих барьеров, благодаря чему инвалиды могли бы в полной мере участвовать в жизни общества;</w:t>
      </w:r>
      <w:proofErr w:type="gramEnd"/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m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активизировать национальные усилия, в том числе при наличии соответствующей международной поддержки, когда о ней просят, для осуществления прав и удовлетворения потребностей женщин и детей, являющихся инвалидами, а также для достижения согласованных на международном уровне целей в области развития и выполнения обязательств, касающихся равенства между мужчинами и женщинами и прав ребенка;</w:t>
      </w:r>
      <w:proofErr w:type="gramEnd"/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n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поощрять региональные и международные банки развития и финансовые учреждения — в соответствии с их полномочиями — к тому, чтобы они учитывали проблему инвалидности в ходе всех своих усилий по развитию и кредитованию, принимая во внимание, что инвалиды больше других страдают и в периоды экономических кризисов;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o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поощрять мобилизацию государственных и частных ресурсов на долговременной основе, с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учитывать проблему инвалидности в деятельности по развитию на всех уровнях, и подчеркнуть необходимость поощрения и укрепления международного сотрудничества и обмена передовым опытом, в том числе регионального, субрегионального и трехстороннего сотрудничества и сотрудничества по линии Юг-Юг, которое дополняло бы сотрудничество по линии Север-Юг, а не подменяло его, а также поощрять партнерство в целях развития с участием инвалидов для поддержки национальных усилий, в частности путем обеспечения того, чтобы выделение ресурсов, укрепление потенциала и техническая помощь, — включая содействие доступу к технологиям и вспомогательным устройствам и обмен ими, а также передачу технологий на взаимно согласованных условиях и другие мероприятия, 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—п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омогали развитию с участием инвалидов, обеспечивали доступ для инвалидов и приводили к расширению их прав и возможностей; при этом особое внимание следует уделять развивающимся странам, которые сталкиваются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все более значительными трудностями в деле мобилизации адекватных ресурсов на удовлетворение самых насущных потребностей вовлечения инвалидов в процесс развития, включая реабилитацию, социализацию, выравнивание возможностей для инвалидов, пропаганду здоровья и здорового образа жизни в целях профилактики заболеваний и устранения социальных, экологических и медицинских факторов риска, в частности путем улучшения здравоохранения, укрепления здоровья матери, расширения вакцинации, снабжения чистой водой, строительства канализационных систем и организации безопасных перевозок;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p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поощрять организации частного сектора к тому, чтобы они устанавливали партнерские отношения с государственным сектором и гражданским обществом, в том числе с организациями инвалидов, намереваясь учитывать, принимать и проводить политику в отношении инвалидов в соответствии с национальными планами, стратегиями и приоритетами в рамках собственных инициатив, свидетельствующих об их социальной ответственности;</w:t>
      </w:r>
    </w:p>
    <w:p w:rsidR="00F573AA" w:rsidRPr="00F573AA" w:rsidRDefault="00F573AA" w:rsidP="00F573A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q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поддерживать цели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деятельности Многостороннего донорского целевого фонда партнерства Организации Объединенных Наций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содействию осуществлению прав инвалидов, в том числе путем внесения добровольных взносов, и призывать другие заинтересованные стороны к таким же действиям.</w:t>
      </w:r>
    </w:p>
    <w:p w:rsidR="00F573AA" w:rsidRPr="00F573AA" w:rsidRDefault="00F573AA" w:rsidP="00F573AA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III. </w:t>
      </w:r>
      <w:proofErr w:type="gramStart"/>
      <w:r w:rsidRPr="00F57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Дальнейшие шаги по выполнению положений итогового документа заседания высокого уровня Генеральной Ассамблеи, посвященного вопросам достижения целей в области развития, сформулированных в Декларации тысячелетия, и других согласованных на международном уровне целей в области развития в интересах инвалидов: путь вперед — повестка дня в области развития с участием инвалидов на период до 2015 года и после него</w:t>
      </w:r>
      <w:proofErr w:type="gramEnd"/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настоятельно призываем систему Организации Объединенных Наций, а также </w:t>
      </w:r>
      <w:hyperlink r:id="rId14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государства-члены</w:t>
        </w:r>
      </w:hyperlink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продолжать добиваться достижения целей развития, сформулированных в Декларации тысячелетия, и других согласованных на международном уровне целей в области развития в интересах инвалидов в период до 2015 года и после него и просим международное сообщество использовать все возможности для того, чтобы включить тему инвалидности в качестве </w:t>
      </w: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междисциплинарного вопроса в глобальную повестку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дня в области развития, уделить должное внимание вопросу об инвалидности в разрабатываемой сейчас повестке дня Организации Объединенных Наций в области развития на период после 2015 года в целях укрепления сотрудничества, а также оказывать соответствующую техническую помощь государствам-членам по их просьбе.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Мы призываем </w:t>
      </w:r>
      <w:hyperlink r:id="rId15" w:history="1">
        <w:r w:rsidRPr="00F573AA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Экономический и Социальный Совет</w:t>
        </w:r>
      </w:hyperlink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уделять должное внимание вопросу об инвалидности и развитии, в том числе в рамках оперативной деятельности Организации Объединенных Наций, согласно соответствующим мандатам, с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содействовать распространению информации и укреплению сотрудничества на всех уровнях, включая участие, когда это целесообразно, учреждений Организации Объединенных Наций, многосторонних банков и учреждений по развитию и других соответствующих заинтересованных сторон, обеспечивая при этом координацию и избегая возможного дублирования.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7. Мы отмечаем всеобъемлющий характер процесса подготовки данного заседания высокого уровня, который включал проведение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интернет-консультаций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региональных консультаций.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8. </w:t>
      </w:r>
      <w:proofErr w:type="gramStart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просим Генерального секретаря, действуя в координации со всеми соответствующими подразделениями системы Организации Объединенных Наций, включить информацию о ходе выполнения положений настоящего итогового документа в его нынешние и уже санкционированные периодические доклады по вопросам, касающимся инвалидности и развития, и сделать рекомендации, когда это целесообразно, относительно конкретных дальнейших шагов по выполнению положений настоящего итогового документа в контексте повестки дня в области</w:t>
      </w:r>
      <w:proofErr w:type="gramEnd"/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развития на период после 2015 года.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Мы подчеркиваем большое значение тесных консультаций с инвалидами, а также их активного вовлечения, — когда это целесообразно, в том числе с помощью представляющих их организаций, в качестве ключевых действующих лиц и заинтересованных сторон — в разработку, осуществление и отслеживание хода реализации новой повестки дня в области развития на период после 2015 года.</w:t>
      </w:r>
    </w:p>
    <w:p w:rsidR="00F573AA" w:rsidRPr="00F573AA" w:rsidRDefault="00F573AA" w:rsidP="00F573A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7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Мы просим Генеральную Ассамблею включить в ее окончательный обзор прогресса в достижении целей развития, сформулированных в Декларации тысячелетия, информацию о мерах, принятых для выполнения положения настоящего итогового документа. Мы просим также Председателя Генеральной Ассамблеи, чтобы на ее семидесятой сессии была представлена информация о состоянии дел и ходе достижения целей развития в интересах инвалидов.</w:t>
      </w:r>
    </w:p>
    <w:p w:rsidR="00AC1956" w:rsidRDefault="00AC1956"/>
    <w:sectPr w:rsidR="00AC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AA"/>
    <w:rsid w:val="00AC1956"/>
    <w:rsid w:val="00F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fo">
    <w:name w:val="info"/>
    <w:basedOn w:val="a"/>
    <w:rsid w:val="00F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3AA"/>
  </w:style>
  <w:style w:type="character" w:styleId="a3">
    <w:name w:val="Hyperlink"/>
    <w:basedOn w:val="a0"/>
    <w:uiPriority w:val="99"/>
    <w:semiHidden/>
    <w:unhideWhenUsed/>
    <w:rsid w:val="00F573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73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fo">
    <w:name w:val="info"/>
    <w:basedOn w:val="a"/>
    <w:rsid w:val="00F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3AA"/>
  </w:style>
  <w:style w:type="character" w:styleId="a3">
    <w:name w:val="Hyperlink"/>
    <w:basedOn w:val="a0"/>
    <w:uiPriority w:val="99"/>
    <w:semiHidden/>
    <w:unhideWhenUsed/>
    <w:rsid w:val="00F573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73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5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udhr/" TargetMode="External"/><Relationship Id="rId13" Type="http://schemas.openxmlformats.org/officeDocument/2006/relationships/hyperlink" Target="http://www.un.org/ru/documents/decl_conv/declarations/disability2015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charter/index.shtml" TargetMode="External"/><Relationship Id="rId12" Type="http://schemas.openxmlformats.org/officeDocument/2006/relationships/hyperlink" Target="http://www.un.org/ru/documents/decl_conv/declarations/disability2015.s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.org/ru/development/progareas/global/disabled.shtml" TargetMode="External"/><Relationship Id="rId11" Type="http://schemas.openxmlformats.org/officeDocument/2006/relationships/hyperlink" Target="http://www.un.org/ru/documents/decl_conv/conventions/disability.shtml" TargetMode="External"/><Relationship Id="rId5" Type="http://schemas.openxmlformats.org/officeDocument/2006/relationships/hyperlink" Target="http://www.un.org/ru/documents/ods.asp?m=A/RES/68/6" TargetMode="External"/><Relationship Id="rId15" Type="http://schemas.openxmlformats.org/officeDocument/2006/relationships/hyperlink" Target="http://www.un.org/ru/ecosoc/" TargetMode="External"/><Relationship Id="rId10" Type="http://schemas.openxmlformats.org/officeDocument/2006/relationships/hyperlink" Target="http://www.un.org/ru/documents/decl_conv/declarations/summitdecl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declarations/disability2015.shtml" TargetMode="External"/><Relationship Id="rId14" Type="http://schemas.openxmlformats.org/officeDocument/2006/relationships/hyperlink" Target="http://www.un.org/ru/memb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2014-08-27T17:36:00Z</dcterms:created>
  <dcterms:modified xsi:type="dcterms:W3CDTF">2014-08-27T17:38:00Z</dcterms:modified>
</cp:coreProperties>
</file>